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A3CA4" w14:textId="7EEF4C9E" w:rsidR="00F41270" w:rsidRPr="00C01467" w:rsidRDefault="00D43F09">
      <w:pPr>
        <w:rPr>
          <w:rFonts w:ascii="Trebuchet MS" w:hAnsi="Trebuchet MS"/>
        </w:rPr>
      </w:pPr>
      <w:r w:rsidRPr="008C1BCE"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11356D0D" wp14:editId="0D580BB0">
            <wp:simplePos x="0" y="0"/>
            <wp:positionH relativeFrom="column">
              <wp:posOffset>-1</wp:posOffset>
            </wp:positionH>
            <wp:positionV relativeFrom="paragraph">
              <wp:posOffset>-63500</wp:posOffset>
            </wp:positionV>
            <wp:extent cx="1091059" cy="469872"/>
            <wp:effectExtent l="0" t="0" r="0" b="6985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44" cy="4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1CBED3A" wp14:editId="58816B48">
                <wp:simplePos x="0" y="0"/>
                <wp:positionH relativeFrom="column">
                  <wp:posOffset>1695450</wp:posOffset>
                </wp:positionH>
                <wp:positionV relativeFrom="paragraph">
                  <wp:posOffset>6350</wp:posOffset>
                </wp:positionV>
                <wp:extent cx="5130800" cy="1404620"/>
                <wp:effectExtent l="0" t="0" r="1270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99095" w14:textId="6D531B4F" w:rsidR="00F41270" w:rsidRPr="00C01467" w:rsidRDefault="008D4290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Girls Attack! &amp; OLNC </w:t>
                            </w:r>
                            <w:r w:rsidR="00A071C6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Safe Practice Opening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CBE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5pt;margin-top:.5pt;width:404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" strokecolor="white [3212]">
                <v:textbox style="mso-fit-shape-to-text:t">
                  <w:txbxContent>
                    <w:p w14:paraId="1A299095" w14:textId="6D531B4F" w:rsidR="00F41270" w:rsidRPr="00C01467" w:rsidRDefault="008D4290">
                      <w:pP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Girls Attack! &amp; OLNC </w:t>
                      </w:r>
                      <w:r w:rsidR="00A071C6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  <w:u w:val="single"/>
                        </w:rPr>
                        <w:t>Safe Practice Opening Procedure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4290" w:rsidRPr="00C01467">
        <w:rPr>
          <w:rFonts w:ascii="Trebuchet MS" w:hAnsi="Trebuchet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B9A89D" wp14:editId="30BBE8BA">
                <wp:simplePos x="0" y="0"/>
                <wp:positionH relativeFrom="column">
                  <wp:posOffset>31750</wp:posOffset>
                </wp:positionH>
                <wp:positionV relativeFrom="paragraph">
                  <wp:posOffset>342900</wp:posOffset>
                </wp:positionV>
                <wp:extent cx="6886575" cy="469900"/>
                <wp:effectExtent l="0" t="0" r="2857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EFEB0" w14:textId="4D7DB2DD" w:rsidR="00C01467" w:rsidRPr="008D4290" w:rsidRDefault="00C01467" w:rsidP="00C01467">
                            <w:pPr>
                              <w:rPr>
                                <w:rFonts w:cstheme="minorHAnsi"/>
                              </w:rPr>
                            </w:pPr>
                            <w:r w:rsidRPr="008D4290"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="00A071C6" w:rsidRPr="008D4290">
                              <w:rPr>
                                <w:rFonts w:cstheme="minorHAnsi"/>
                              </w:rPr>
                              <w:t>Safe practice opening procedure</w:t>
                            </w:r>
                            <w:r w:rsidRPr="008D4290">
                              <w:rPr>
                                <w:rFonts w:cstheme="minorHAnsi"/>
                              </w:rPr>
                              <w:t xml:space="preserve"> must be completed in a documented format and kept for any future use. Continue to use general opening checklists alongside this.</w:t>
                            </w:r>
                          </w:p>
                          <w:p w14:paraId="0A04F801" w14:textId="752958FA" w:rsidR="00C01467" w:rsidRDefault="00C01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9A89D" id="_x0000_s1027" type="#_x0000_t202" style="position:absolute;margin-left:2.5pt;margin-top:27pt;width:542.25pt;height:3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" strokecolor="white [3212]">
                <v:textbox>
                  <w:txbxContent>
                    <w:p w14:paraId="308EFEB0" w14:textId="4D7DB2DD" w:rsidR="00C01467" w:rsidRPr="008D4290" w:rsidRDefault="00C01467" w:rsidP="00C01467">
                      <w:pPr>
                        <w:rPr>
                          <w:rFonts w:cstheme="minorHAnsi"/>
                        </w:rPr>
                      </w:pPr>
                      <w:r w:rsidRPr="008D4290">
                        <w:rPr>
                          <w:rFonts w:cstheme="minorHAnsi"/>
                        </w:rPr>
                        <w:t xml:space="preserve">The </w:t>
                      </w:r>
                      <w:r w:rsidR="00A071C6" w:rsidRPr="008D4290">
                        <w:rPr>
                          <w:rFonts w:cstheme="minorHAnsi"/>
                        </w:rPr>
                        <w:t>Safe practice opening procedure</w:t>
                      </w:r>
                      <w:r w:rsidRPr="008D4290">
                        <w:rPr>
                          <w:rFonts w:cstheme="minorHAnsi"/>
                        </w:rPr>
                        <w:t xml:space="preserve"> must be completed in a documented format and kept for any future use. Continue to use general opening checklists alongside this.</w:t>
                      </w:r>
                    </w:p>
                    <w:p w14:paraId="0A04F801" w14:textId="752958FA" w:rsidR="00C01467" w:rsidRDefault="00C01467"/>
                  </w:txbxContent>
                </v:textbox>
                <w10:wrap type="square"/>
              </v:shape>
            </w:pict>
          </mc:Fallback>
        </mc:AlternateContent>
      </w:r>
      <w:r w:rsidR="00090F79" w:rsidRPr="00F41270"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C976D26" wp14:editId="24670901">
                <wp:simplePos x="0" y="0"/>
                <wp:positionH relativeFrom="margin">
                  <wp:posOffset>7210425</wp:posOffset>
                </wp:positionH>
                <wp:positionV relativeFrom="paragraph">
                  <wp:posOffset>9525</wp:posOffset>
                </wp:positionV>
                <wp:extent cx="1238250" cy="752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803E1" w14:textId="504FBDC1" w:rsidR="00F41270" w:rsidRDefault="008D42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2F7D7E" wp14:editId="3E382A9A">
                                  <wp:extent cx="742950" cy="412750"/>
                                  <wp:effectExtent l="0" t="0" r="0" b="635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6D26" id="_x0000_s1028" type="#_x0000_t202" style="position:absolute;margin-left:567.75pt;margin-top:.75pt;width:97.5pt;height:59.2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" strokecolor="white [3212]">
                <v:textbox>
                  <w:txbxContent>
                    <w:p w14:paraId="27B803E1" w14:textId="504FBDC1" w:rsidR="00F41270" w:rsidRDefault="008D4290">
                      <w:r>
                        <w:rPr>
                          <w:noProof/>
                        </w:rPr>
                        <w:drawing>
                          <wp:inline distT="0" distB="0" distL="0" distR="0" wp14:anchorId="1E2F7D7E" wp14:editId="3E382A9A">
                            <wp:extent cx="742950" cy="412750"/>
                            <wp:effectExtent l="0" t="0" r="0" b="635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4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3487"/>
        <w:gridCol w:w="10461"/>
      </w:tblGrid>
      <w:tr w:rsidR="00090F79" w:rsidRPr="00153DF3" w14:paraId="0E28F57C" w14:textId="77777777" w:rsidTr="00090F79">
        <w:tc>
          <w:tcPr>
            <w:tcW w:w="13948" w:type="dxa"/>
            <w:gridSpan w:val="2"/>
            <w:shd w:val="clear" w:color="auto" w:fill="B4C6E7" w:themeFill="accent1" w:themeFillTint="66"/>
          </w:tcPr>
          <w:p w14:paraId="1B685F9E" w14:textId="0EA6257C" w:rsidR="00090F79" w:rsidRPr="00153DF3" w:rsidRDefault="00C24287" w:rsidP="00090F7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GAT/OLNC</w:t>
            </w:r>
          </w:p>
        </w:tc>
      </w:tr>
      <w:tr w:rsidR="00090F79" w:rsidRPr="00153DF3" w14:paraId="38AED665" w14:textId="77777777" w:rsidTr="00090F79">
        <w:tc>
          <w:tcPr>
            <w:tcW w:w="3487" w:type="dxa"/>
          </w:tcPr>
          <w:p w14:paraId="545E5BA8" w14:textId="383632E8" w:rsidR="00090F79" w:rsidRPr="008D4290" w:rsidRDefault="00090F79" w:rsidP="00090F79">
            <w:pPr>
              <w:jc w:val="center"/>
              <w:rPr>
                <w:rFonts w:cstheme="minorHAnsi"/>
              </w:rPr>
            </w:pPr>
            <w:r w:rsidRPr="008D4290">
              <w:rPr>
                <w:rFonts w:cstheme="minorHAnsi"/>
              </w:rPr>
              <w:t xml:space="preserve">COVID-19 </w:t>
            </w:r>
            <w:r w:rsidR="008D4290" w:rsidRPr="008D4290">
              <w:rPr>
                <w:rFonts w:cstheme="minorHAnsi"/>
              </w:rPr>
              <w:t>GAT/OLNC</w:t>
            </w:r>
            <w:r w:rsidR="002D6D12" w:rsidRPr="008D4290">
              <w:rPr>
                <w:rFonts w:cstheme="minorHAnsi"/>
              </w:rPr>
              <w:t xml:space="preserve"> Practice opening Procedure</w:t>
            </w:r>
            <w:r w:rsidR="00721098" w:rsidRPr="008D4290">
              <w:rPr>
                <w:rFonts w:cstheme="minorHAnsi"/>
              </w:rPr>
              <w:t xml:space="preserve"> Check list </w:t>
            </w:r>
          </w:p>
        </w:tc>
        <w:tc>
          <w:tcPr>
            <w:tcW w:w="10461" w:type="dxa"/>
          </w:tcPr>
          <w:p w14:paraId="250B2C4A" w14:textId="6CB0F3F1" w:rsidR="00090F79" w:rsidRPr="008D4290" w:rsidRDefault="00646FB1" w:rsidP="00090F79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>This</w:t>
            </w:r>
            <w:r w:rsidR="00A071C6" w:rsidRPr="008D4290">
              <w:rPr>
                <w:rFonts w:cstheme="minorHAnsi"/>
              </w:rPr>
              <w:t xml:space="preserve"> safe practice opening procedure must be completed </w:t>
            </w:r>
            <w:r w:rsidRPr="008D4290">
              <w:rPr>
                <w:rFonts w:cstheme="minorHAnsi"/>
              </w:rPr>
              <w:t>prio</w:t>
            </w:r>
            <w:r w:rsidR="00A071C6" w:rsidRPr="008D4290">
              <w:rPr>
                <w:rFonts w:cstheme="minorHAnsi"/>
              </w:rPr>
              <w:t>r, during and after</w:t>
            </w:r>
            <w:r w:rsidRPr="008D4290">
              <w:rPr>
                <w:rFonts w:cstheme="minorHAnsi"/>
              </w:rPr>
              <w:t xml:space="preserve"> </w:t>
            </w:r>
            <w:r w:rsidR="00A071C6" w:rsidRPr="008D4290">
              <w:rPr>
                <w:rFonts w:cstheme="minorHAnsi"/>
              </w:rPr>
              <w:t>when taking part in</w:t>
            </w:r>
            <w:r w:rsidRPr="008D4290">
              <w:rPr>
                <w:rFonts w:cstheme="minorHAnsi"/>
              </w:rPr>
              <w:t xml:space="preserve"> outdoor practice under the current COVID-19 guidelines. The club must not be opened until </w:t>
            </w:r>
            <w:r w:rsidR="00A071C6" w:rsidRPr="008D4290">
              <w:rPr>
                <w:rFonts w:cstheme="minorHAnsi"/>
              </w:rPr>
              <w:t>this procedure</w:t>
            </w:r>
            <w:r w:rsidRPr="008D4290">
              <w:rPr>
                <w:rFonts w:cstheme="minorHAnsi"/>
              </w:rPr>
              <w:t xml:space="preserve"> is carried out and all necessary measures are in place. The items on this checklist are required to illustrate compliance with the </w:t>
            </w:r>
            <w:r w:rsidR="00A071C6" w:rsidRPr="008D4290">
              <w:rPr>
                <w:rFonts w:cstheme="minorHAnsi"/>
              </w:rPr>
              <w:t xml:space="preserve">Government and </w:t>
            </w:r>
            <w:r w:rsidR="00D418D0" w:rsidRPr="008D4290">
              <w:rPr>
                <w:rFonts w:cstheme="minorHAnsi"/>
              </w:rPr>
              <w:t>EN</w:t>
            </w:r>
            <w:r w:rsidRPr="008D4290">
              <w:rPr>
                <w:rFonts w:cstheme="minorHAnsi"/>
              </w:rPr>
              <w:t>'s guidance.</w:t>
            </w:r>
          </w:p>
        </w:tc>
      </w:tr>
    </w:tbl>
    <w:p w14:paraId="0A2BFAE9" w14:textId="4C0D1906" w:rsidR="00AA0D5B" w:rsidRPr="00153DF3" w:rsidRDefault="00AA0D5B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850"/>
        <w:gridCol w:w="851"/>
        <w:gridCol w:w="2896"/>
      </w:tblGrid>
      <w:tr w:rsidR="002B4A63" w:rsidRPr="008D4290" w14:paraId="3542FAFD" w14:textId="26620231" w:rsidTr="004317D1">
        <w:tc>
          <w:tcPr>
            <w:tcW w:w="9351" w:type="dxa"/>
            <w:shd w:val="clear" w:color="auto" w:fill="B4C6E7" w:themeFill="accent1" w:themeFillTint="66"/>
          </w:tcPr>
          <w:p w14:paraId="6C34DED9" w14:textId="77777777" w:rsidR="00646FB1" w:rsidRPr="008D4290" w:rsidRDefault="00646FB1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>Question</w:t>
            </w:r>
          </w:p>
          <w:p w14:paraId="6A276519" w14:textId="151F7AEC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B4C6E7" w:themeFill="accent1" w:themeFillTint="66"/>
          </w:tcPr>
          <w:p w14:paraId="045E6B31" w14:textId="0B6A538E" w:rsidR="00646FB1" w:rsidRPr="008D4290" w:rsidRDefault="00646FB1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>Yes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767251D0" w14:textId="215C5149" w:rsidR="00646FB1" w:rsidRPr="008D4290" w:rsidRDefault="00646FB1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>No</w:t>
            </w:r>
          </w:p>
        </w:tc>
        <w:tc>
          <w:tcPr>
            <w:tcW w:w="2896" w:type="dxa"/>
            <w:shd w:val="clear" w:color="auto" w:fill="B4C6E7" w:themeFill="accent1" w:themeFillTint="66"/>
          </w:tcPr>
          <w:p w14:paraId="18FACF65" w14:textId="31C0B9DE" w:rsidR="00646FB1" w:rsidRPr="008D4290" w:rsidRDefault="00646FB1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>Comment</w:t>
            </w:r>
          </w:p>
        </w:tc>
      </w:tr>
      <w:tr w:rsidR="002B4A63" w:rsidRPr="008D4290" w14:paraId="4033343A" w14:textId="77777777" w:rsidTr="004317D1">
        <w:tc>
          <w:tcPr>
            <w:tcW w:w="9351" w:type="dxa"/>
          </w:tcPr>
          <w:p w14:paraId="192FC8B3" w14:textId="5E3463E3" w:rsidR="00646FB1" w:rsidRPr="008D4290" w:rsidRDefault="00A071C6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 xml:space="preserve">Set up </w:t>
            </w:r>
            <w:r w:rsidR="00C24287">
              <w:rPr>
                <w:rFonts w:cstheme="minorHAnsi"/>
              </w:rPr>
              <w:t>h</w:t>
            </w:r>
            <w:r w:rsidRPr="008D4290">
              <w:rPr>
                <w:rFonts w:cstheme="minorHAnsi"/>
              </w:rPr>
              <w:t>and washing station</w:t>
            </w:r>
            <w:r w:rsidR="006E2DA6" w:rsidRPr="008D4290">
              <w:rPr>
                <w:rFonts w:cstheme="minorHAnsi"/>
              </w:rPr>
              <w:t xml:space="preserve"> at entrance and exit</w:t>
            </w:r>
            <w:r w:rsidRPr="008D4290">
              <w:rPr>
                <w:rFonts w:cstheme="minorHAnsi"/>
              </w:rPr>
              <w:t>, this is to include hand sanitiser, paper towels and a refuse bin.</w:t>
            </w:r>
          </w:p>
        </w:tc>
        <w:tc>
          <w:tcPr>
            <w:tcW w:w="850" w:type="dxa"/>
          </w:tcPr>
          <w:p w14:paraId="5933315A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CE72BCB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1BF925FE" w14:textId="1AB9971E" w:rsidR="00646FB1" w:rsidRPr="008D4290" w:rsidRDefault="00646FB1">
            <w:pPr>
              <w:rPr>
                <w:rFonts w:cstheme="minorHAnsi"/>
              </w:rPr>
            </w:pPr>
          </w:p>
        </w:tc>
      </w:tr>
      <w:tr w:rsidR="002B4A63" w:rsidRPr="008D4290" w14:paraId="0489FAAD" w14:textId="77777777" w:rsidTr="004317D1">
        <w:tc>
          <w:tcPr>
            <w:tcW w:w="9351" w:type="dxa"/>
          </w:tcPr>
          <w:p w14:paraId="7F1A96B5" w14:textId="1151788C" w:rsidR="00646FB1" w:rsidRPr="008D4290" w:rsidRDefault="00C57B14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>Confirm that</w:t>
            </w:r>
            <w:r w:rsidR="00646FB1" w:rsidRPr="008D4290">
              <w:rPr>
                <w:rFonts w:cstheme="minorHAnsi"/>
              </w:rPr>
              <w:t xml:space="preserve"> signage been displayed</w:t>
            </w:r>
            <w:r w:rsidRPr="008D4290">
              <w:rPr>
                <w:rFonts w:cstheme="minorHAnsi"/>
              </w:rPr>
              <w:t>.</w:t>
            </w:r>
          </w:p>
        </w:tc>
        <w:tc>
          <w:tcPr>
            <w:tcW w:w="850" w:type="dxa"/>
          </w:tcPr>
          <w:p w14:paraId="3A149E42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A69DCDC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4408113C" w14:textId="2B87F90B" w:rsidR="00646FB1" w:rsidRPr="008D4290" w:rsidRDefault="00646FB1">
            <w:pPr>
              <w:rPr>
                <w:rFonts w:cstheme="minorHAnsi"/>
              </w:rPr>
            </w:pPr>
          </w:p>
        </w:tc>
      </w:tr>
      <w:tr w:rsidR="002B4A63" w:rsidRPr="008D4290" w14:paraId="7DFFE690" w14:textId="77777777" w:rsidTr="004317D1">
        <w:tc>
          <w:tcPr>
            <w:tcW w:w="9351" w:type="dxa"/>
          </w:tcPr>
          <w:p w14:paraId="6DF5BBDD" w14:textId="43F53E3B" w:rsidR="00646FB1" w:rsidRPr="008D4290" w:rsidRDefault="00C57B14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>Sanitise gate and open facility.</w:t>
            </w:r>
            <w:r w:rsidR="002B4A63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0734F66A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E6D69E2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15DDEDFE" w14:textId="6A4AB0CC" w:rsidR="00646FB1" w:rsidRPr="008D4290" w:rsidRDefault="00646FB1">
            <w:pPr>
              <w:rPr>
                <w:rFonts w:cstheme="minorHAnsi"/>
              </w:rPr>
            </w:pPr>
          </w:p>
        </w:tc>
      </w:tr>
      <w:tr w:rsidR="002B4A63" w:rsidRPr="008D4290" w14:paraId="3A9D66AD" w14:textId="77777777" w:rsidTr="004317D1">
        <w:tc>
          <w:tcPr>
            <w:tcW w:w="9351" w:type="dxa"/>
          </w:tcPr>
          <w:p w14:paraId="5D3D127B" w14:textId="4494CFCF" w:rsidR="00646FB1" w:rsidRPr="008D4290" w:rsidRDefault="00C57B14" w:rsidP="009461C3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 xml:space="preserve">Disinfect </w:t>
            </w:r>
            <w:r w:rsidR="006E2DA6" w:rsidRPr="008D4290">
              <w:rPr>
                <w:rFonts w:cstheme="minorHAnsi"/>
              </w:rPr>
              <w:t>equipment</w:t>
            </w:r>
            <w:r w:rsidRPr="008D4290">
              <w:rPr>
                <w:rFonts w:cstheme="minorHAnsi"/>
              </w:rPr>
              <w:t xml:space="preserve"> being used. </w:t>
            </w:r>
            <w:r w:rsidRPr="008D4290">
              <w:rPr>
                <w:rFonts w:cstheme="minorHAnsi"/>
                <w:b/>
                <w:bCs/>
              </w:rPr>
              <w:t>Use gloves and face mask whilst doing so.</w:t>
            </w:r>
            <w:r w:rsidRPr="008D4290">
              <w:rPr>
                <w:rFonts w:cstheme="minorHAnsi"/>
              </w:rPr>
              <w:t xml:space="preserve"> </w:t>
            </w:r>
          </w:p>
        </w:tc>
        <w:tc>
          <w:tcPr>
            <w:tcW w:w="850" w:type="dxa"/>
          </w:tcPr>
          <w:p w14:paraId="0AFACF61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F0A1555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52F275C8" w14:textId="5683F2E5" w:rsidR="00646FB1" w:rsidRPr="008D4290" w:rsidRDefault="00646FB1">
            <w:pPr>
              <w:rPr>
                <w:rFonts w:cstheme="minorHAnsi"/>
              </w:rPr>
            </w:pPr>
          </w:p>
        </w:tc>
      </w:tr>
      <w:tr w:rsidR="002B4A63" w:rsidRPr="008D4290" w14:paraId="24B14506" w14:textId="68F31501" w:rsidTr="004317D1">
        <w:tc>
          <w:tcPr>
            <w:tcW w:w="9351" w:type="dxa"/>
          </w:tcPr>
          <w:p w14:paraId="73822433" w14:textId="7B8038BF" w:rsidR="00646FB1" w:rsidRPr="008D4290" w:rsidRDefault="00C57B14" w:rsidP="009461C3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 xml:space="preserve">Complete </w:t>
            </w:r>
            <w:r w:rsidR="008D4290" w:rsidRPr="008D4290">
              <w:rPr>
                <w:rFonts w:cstheme="minorHAnsi"/>
              </w:rPr>
              <w:t>GAT/OLNC</w:t>
            </w:r>
            <w:r w:rsidRPr="008D4290">
              <w:rPr>
                <w:rFonts w:cstheme="minorHAnsi"/>
              </w:rPr>
              <w:t xml:space="preserve"> representative check list.</w:t>
            </w:r>
          </w:p>
        </w:tc>
        <w:tc>
          <w:tcPr>
            <w:tcW w:w="850" w:type="dxa"/>
          </w:tcPr>
          <w:p w14:paraId="62B3BEF2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8579FB8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5079B3DC" w14:textId="60E1250F" w:rsidR="00646FB1" w:rsidRPr="008D4290" w:rsidRDefault="00646FB1">
            <w:pPr>
              <w:rPr>
                <w:rFonts w:cstheme="minorHAnsi"/>
              </w:rPr>
            </w:pPr>
          </w:p>
        </w:tc>
      </w:tr>
      <w:tr w:rsidR="002B4A63" w:rsidRPr="008D4290" w14:paraId="4B25D524" w14:textId="67F5D95C" w:rsidTr="004317D1">
        <w:tc>
          <w:tcPr>
            <w:tcW w:w="9351" w:type="dxa"/>
          </w:tcPr>
          <w:p w14:paraId="2DFFD066" w14:textId="75027035" w:rsidR="00646FB1" w:rsidRPr="008D4290" w:rsidRDefault="00C57B14" w:rsidP="009461C3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>Issue</w:t>
            </w:r>
            <w:r w:rsidR="004317D1" w:rsidRPr="008D4290">
              <w:rPr>
                <w:rFonts w:cstheme="minorHAnsi"/>
              </w:rPr>
              <w:t xml:space="preserve"> participants attending the User Agreement for completion prior to them </w:t>
            </w:r>
            <w:r w:rsidRPr="008D4290">
              <w:rPr>
                <w:rFonts w:cstheme="minorHAnsi"/>
              </w:rPr>
              <w:t>entering.</w:t>
            </w:r>
          </w:p>
        </w:tc>
        <w:tc>
          <w:tcPr>
            <w:tcW w:w="850" w:type="dxa"/>
          </w:tcPr>
          <w:p w14:paraId="49EAAE19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5890FB5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5DA0817A" w14:textId="14972592" w:rsidR="00646FB1" w:rsidRPr="008D4290" w:rsidRDefault="00646FB1">
            <w:pPr>
              <w:rPr>
                <w:rFonts w:cstheme="minorHAnsi"/>
              </w:rPr>
            </w:pPr>
          </w:p>
        </w:tc>
      </w:tr>
      <w:tr w:rsidR="002B4A63" w:rsidRPr="008D4290" w14:paraId="1C2353C2" w14:textId="77777777" w:rsidTr="004317D1">
        <w:tc>
          <w:tcPr>
            <w:tcW w:w="9351" w:type="dxa"/>
          </w:tcPr>
          <w:p w14:paraId="7D8A7E1D" w14:textId="59F38CCE" w:rsidR="00190C01" w:rsidRPr="008D4290" w:rsidRDefault="00190C01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>Ensure participants have washed their hands before taking part.</w:t>
            </w:r>
          </w:p>
        </w:tc>
        <w:tc>
          <w:tcPr>
            <w:tcW w:w="850" w:type="dxa"/>
          </w:tcPr>
          <w:p w14:paraId="45152362" w14:textId="77777777" w:rsidR="00190C01" w:rsidRPr="008D4290" w:rsidRDefault="00190C01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6FB4263" w14:textId="77777777" w:rsidR="00190C01" w:rsidRPr="008D4290" w:rsidRDefault="00190C01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002EBD5D" w14:textId="77777777" w:rsidR="00190C01" w:rsidRPr="008D4290" w:rsidRDefault="00190C01">
            <w:pPr>
              <w:rPr>
                <w:rFonts w:cstheme="minorHAnsi"/>
              </w:rPr>
            </w:pPr>
          </w:p>
        </w:tc>
      </w:tr>
      <w:tr w:rsidR="002B4A63" w:rsidRPr="008D4290" w14:paraId="3CE46698" w14:textId="7194041A" w:rsidTr="004317D1">
        <w:tc>
          <w:tcPr>
            <w:tcW w:w="9351" w:type="dxa"/>
          </w:tcPr>
          <w:p w14:paraId="05D4A70B" w14:textId="68A4B82E" w:rsidR="00646FB1" w:rsidRPr="008D4290" w:rsidRDefault="00190C01" w:rsidP="009461C3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 xml:space="preserve">Supervise both </w:t>
            </w:r>
            <w:r w:rsidR="009461C3" w:rsidRPr="008D4290">
              <w:rPr>
                <w:rFonts w:cstheme="minorHAnsi"/>
              </w:rPr>
              <w:t>court</w:t>
            </w:r>
            <w:r w:rsidR="006E2DA6" w:rsidRPr="008D4290">
              <w:rPr>
                <w:rFonts w:cstheme="minorHAnsi"/>
              </w:rPr>
              <w:t xml:space="preserve"> </w:t>
            </w:r>
            <w:r w:rsidRPr="008D4290">
              <w:rPr>
                <w:rFonts w:cstheme="minorHAnsi"/>
              </w:rPr>
              <w:t xml:space="preserve">and surrounding area, reinforcing social distance guidance if needed. </w:t>
            </w:r>
          </w:p>
        </w:tc>
        <w:tc>
          <w:tcPr>
            <w:tcW w:w="850" w:type="dxa"/>
          </w:tcPr>
          <w:p w14:paraId="4A190512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E6096A6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566E5108" w14:textId="762C5909" w:rsidR="00646FB1" w:rsidRPr="008D4290" w:rsidRDefault="00646FB1">
            <w:pPr>
              <w:rPr>
                <w:rFonts w:cstheme="minorHAnsi"/>
              </w:rPr>
            </w:pPr>
          </w:p>
        </w:tc>
      </w:tr>
      <w:tr w:rsidR="002B4A63" w:rsidRPr="008D4290" w14:paraId="5369C94C" w14:textId="612775D9" w:rsidTr="004317D1">
        <w:tc>
          <w:tcPr>
            <w:tcW w:w="9351" w:type="dxa"/>
          </w:tcPr>
          <w:p w14:paraId="08345F70" w14:textId="6A9B4FAE" w:rsidR="00646FB1" w:rsidRPr="008D4290" w:rsidRDefault="00190C01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>Ensure participants have washed hands after use.</w:t>
            </w:r>
          </w:p>
        </w:tc>
        <w:tc>
          <w:tcPr>
            <w:tcW w:w="850" w:type="dxa"/>
          </w:tcPr>
          <w:p w14:paraId="5C3E0C46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E5F3585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41E0ECC9" w14:textId="7A8012D4" w:rsidR="00646FB1" w:rsidRPr="008D4290" w:rsidRDefault="00646FB1">
            <w:pPr>
              <w:rPr>
                <w:rFonts w:cstheme="minorHAnsi"/>
              </w:rPr>
            </w:pPr>
          </w:p>
        </w:tc>
      </w:tr>
      <w:tr w:rsidR="002B4A63" w:rsidRPr="008D4290" w14:paraId="39346E61" w14:textId="6CE8A486" w:rsidTr="004317D1">
        <w:tc>
          <w:tcPr>
            <w:tcW w:w="9351" w:type="dxa"/>
          </w:tcPr>
          <w:p w14:paraId="52CEBF8F" w14:textId="721AD26D" w:rsidR="00646FB1" w:rsidRPr="008D4290" w:rsidRDefault="00190C01" w:rsidP="009461C3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 xml:space="preserve">Check </w:t>
            </w:r>
            <w:r w:rsidR="009461C3" w:rsidRPr="008D4290">
              <w:rPr>
                <w:rFonts w:cstheme="minorHAnsi"/>
              </w:rPr>
              <w:t>court</w:t>
            </w:r>
            <w:r w:rsidRPr="008D4290">
              <w:rPr>
                <w:rFonts w:cstheme="minorHAnsi"/>
              </w:rPr>
              <w:t xml:space="preserve"> for any items forgotten. </w:t>
            </w:r>
          </w:p>
        </w:tc>
        <w:tc>
          <w:tcPr>
            <w:tcW w:w="850" w:type="dxa"/>
          </w:tcPr>
          <w:p w14:paraId="6097C383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E963757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33FC89CA" w14:textId="4594F560" w:rsidR="00646FB1" w:rsidRPr="008D4290" w:rsidRDefault="00646FB1">
            <w:pPr>
              <w:rPr>
                <w:rFonts w:cstheme="minorHAnsi"/>
              </w:rPr>
            </w:pPr>
          </w:p>
        </w:tc>
      </w:tr>
      <w:tr w:rsidR="002B4A63" w:rsidRPr="008D4290" w14:paraId="2E78333F" w14:textId="2F9D1404" w:rsidTr="004317D1">
        <w:tc>
          <w:tcPr>
            <w:tcW w:w="9351" w:type="dxa"/>
          </w:tcPr>
          <w:p w14:paraId="07183E33" w14:textId="36B998C3" w:rsidR="00646FB1" w:rsidRPr="008D4290" w:rsidRDefault="00190C01" w:rsidP="009461C3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 xml:space="preserve">Disinfect the </w:t>
            </w:r>
            <w:r w:rsidR="006E2DA6" w:rsidRPr="008D4290">
              <w:rPr>
                <w:rFonts w:cstheme="minorHAnsi"/>
              </w:rPr>
              <w:t>equipment</w:t>
            </w:r>
            <w:r w:rsidRPr="008D4290">
              <w:rPr>
                <w:rFonts w:cstheme="minorHAnsi"/>
              </w:rPr>
              <w:t xml:space="preserve"> </w:t>
            </w:r>
            <w:r w:rsidR="002B4A63">
              <w:rPr>
                <w:rFonts w:cstheme="minorHAnsi"/>
              </w:rPr>
              <w:t>before and after</w:t>
            </w:r>
            <w:r w:rsidRPr="008D4290">
              <w:rPr>
                <w:rFonts w:cstheme="minorHAnsi"/>
              </w:rPr>
              <w:t xml:space="preserve"> use</w:t>
            </w:r>
            <w:r w:rsidR="002B4A63">
              <w:rPr>
                <w:rFonts w:cstheme="minorHAnsi"/>
              </w:rPr>
              <w:t>, including netball post and bibs.</w:t>
            </w:r>
          </w:p>
        </w:tc>
        <w:tc>
          <w:tcPr>
            <w:tcW w:w="850" w:type="dxa"/>
          </w:tcPr>
          <w:p w14:paraId="4816D1B7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682F3EE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3815BAD1" w14:textId="63D61225" w:rsidR="00646FB1" w:rsidRPr="008D4290" w:rsidRDefault="00646FB1">
            <w:pPr>
              <w:rPr>
                <w:rFonts w:cstheme="minorHAnsi"/>
              </w:rPr>
            </w:pPr>
          </w:p>
        </w:tc>
      </w:tr>
      <w:tr w:rsidR="002B4A63" w:rsidRPr="008D4290" w14:paraId="1DBAE137" w14:textId="34ACA3D7" w:rsidTr="004317D1">
        <w:tc>
          <w:tcPr>
            <w:tcW w:w="9351" w:type="dxa"/>
          </w:tcPr>
          <w:p w14:paraId="2C82E45D" w14:textId="7997A0F7" w:rsidR="00646FB1" w:rsidRPr="008D4290" w:rsidRDefault="009461C3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>Sanitise and lock any gates</w:t>
            </w:r>
            <w:r w:rsidR="008D4290" w:rsidRPr="008D4290">
              <w:rPr>
                <w:rFonts w:cstheme="minorHAnsi"/>
              </w:rPr>
              <w:t>.</w:t>
            </w:r>
          </w:p>
        </w:tc>
        <w:tc>
          <w:tcPr>
            <w:tcW w:w="850" w:type="dxa"/>
          </w:tcPr>
          <w:p w14:paraId="347F966F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11039A0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5E16469F" w14:textId="08D4A6D0" w:rsidR="00646FB1" w:rsidRPr="008D4290" w:rsidRDefault="00646FB1">
            <w:pPr>
              <w:rPr>
                <w:rFonts w:cstheme="minorHAnsi"/>
              </w:rPr>
            </w:pPr>
          </w:p>
        </w:tc>
      </w:tr>
      <w:tr w:rsidR="002B4A63" w:rsidRPr="008D4290" w14:paraId="38B35E0B" w14:textId="17A02199" w:rsidTr="004317D1">
        <w:tc>
          <w:tcPr>
            <w:tcW w:w="9351" w:type="dxa"/>
          </w:tcPr>
          <w:p w14:paraId="5C9E9AE6" w14:textId="49072821" w:rsidR="00646FB1" w:rsidRPr="008D4290" w:rsidRDefault="009461C3">
            <w:pPr>
              <w:rPr>
                <w:rFonts w:cstheme="minorHAnsi"/>
              </w:rPr>
            </w:pPr>
            <w:r w:rsidRPr="008D4290">
              <w:rPr>
                <w:rFonts w:cstheme="minorHAnsi"/>
              </w:rPr>
              <w:t>Store all equipment and chemicals not required for ne</w:t>
            </w:r>
            <w:r w:rsidR="00D418D0" w:rsidRPr="008D4290">
              <w:rPr>
                <w:rFonts w:cstheme="minorHAnsi"/>
              </w:rPr>
              <w:t>x</w:t>
            </w:r>
            <w:r w:rsidRPr="008D4290">
              <w:rPr>
                <w:rFonts w:cstheme="minorHAnsi"/>
              </w:rPr>
              <w:t>t use been put away and made safe and secure</w:t>
            </w:r>
            <w:r w:rsidR="008D4290" w:rsidRPr="008D4290">
              <w:rPr>
                <w:rFonts w:cstheme="minorHAnsi"/>
              </w:rPr>
              <w:t>.</w:t>
            </w:r>
          </w:p>
        </w:tc>
        <w:tc>
          <w:tcPr>
            <w:tcW w:w="850" w:type="dxa"/>
          </w:tcPr>
          <w:p w14:paraId="4BA94B1C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2773C95C" w14:textId="77777777" w:rsidR="00646FB1" w:rsidRPr="008D4290" w:rsidRDefault="00646FB1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14:paraId="7535AA45" w14:textId="467F9494" w:rsidR="00646FB1" w:rsidRPr="008D4290" w:rsidRDefault="00646FB1">
            <w:pPr>
              <w:rPr>
                <w:rFonts w:cstheme="minorHAnsi"/>
              </w:rPr>
            </w:pPr>
          </w:p>
        </w:tc>
      </w:tr>
    </w:tbl>
    <w:p w14:paraId="16F849B4" w14:textId="77777777" w:rsidR="00153DF3" w:rsidRDefault="00153DF3">
      <w:pPr>
        <w:rPr>
          <w:rFonts w:ascii="Trebuchet MS" w:hAnsi="Trebuchet MS"/>
          <w:sz w:val="20"/>
          <w:szCs w:val="20"/>
        </w:rPr>
      </w:pPr>
    </w:p>
    <w:p w14:paraId="42372F64" w14:textId="2E0BD882" w:rsidR="001138E6" w:rsidRPr="008D4290" w:rsidRDefault="001138E6">
      <w:pPr>
        <w:rPr>
          <w:rFonts w:cstheme="minorHAnsi"/>
        </w:rPr>
      </w:pPr>
      <w:r w:rsidRPr="008D4290">
        <w:rPr>
          <w:rFonts w:cstheme="minorHAnsi"/>
        </w:rPr>
        <w:t>Name …………………………………………</w:t>
      </w:r>
      <w:r w:rsidR="003F4903" w:rsidRPr="008D4290">
        <w:rPr>
          <w:rFonts w:cstheme="minorHAnsi"/>
        </w:rPr>
        <w:t>………………………………………</w:t>
      </w:r>
      <w:r w:rsidRPr="008D4290">
        <w:rPr>
          <w:rFonts w:cstheme="minorHAnsi"/>
        </w:rPr>
        <w:t>Signed………………………………………………………………………</w:t>
      </w:r>
      <w:r w:rsidR="003F4903" w:rsidRPr="008D4290">
        <w:rPr>
          <w:rFonts w:cstheme="minorHAnsi"/>
        </w:rPr>
        <w:t>Date………………………</w:t>
      </w:r>
      <w:r w:rsidRPr="008D4290">
        <w:rPr>
          <w:rFonts w:cstheme="minorHAnsi"/>
        </w:rPr>
        <w:t>………………………………………….</w:t>
      </w:r>
    </w:p>
    <w:sectPr w:rsidR="001138E6" w:rsidRPr="008D4290" w:rsidSect="00F412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40830" w14:textId="77777777" w:rsidR="0080692F" w:rsidRDefault="0080692F" w:rsidP="00F41270">
      <w:pPr>
        <w:spacing w:after="0" w:line="240" w:lineRule="auto"/>
      </w:pPr>
      <w:r>
        <w:separator/>
      </w:r>
    </w:p>
  </w:endnote>
  <w:endnote w:type="continuationSeparator" w:id="0">
    <w:p w14:paraId="43A0ACD5" w14:textId="77777777" w:rsidR="0080692F" w:rsidRDefault="0080692F" w:rsidP="00F4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C6FD" w14:textId="77777777" w:rsidR="0080692F" w:rsidRDefault="0080692F" w:rsidP="00F41270">
      <w:pPr>
        <w:spacing w:after="0" w:line="240" w:lineRule="auto"/>
      </w:pPr>
      <w:r>
        <w:separator/>
      </w:r>
    </w:p>
  </w:footnote>
  <w:footnote w:type="continuationSeparator" w:id="0">
    <w:p w14:paraId="2AD504AA" w14:textId="77777777" w:rsidR="0080692F" w:rsidRDefault="0080692F" w:rsidP="00F41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581"/>
    <w:rsid w:val="0001336A"/>
    <w:rsid w:val="00090F79"/>
    <w:rsid w:val="000A4B95"/>
    <w:rsid w:val="00105927"/>
    <w:rsid w:val="001138E6"/>
    <w:rsid w:val="00113EB1"/>
    <w:rsid w:val="00153DF3"/>
    <w:rsid w:val="00190C01"/>
    <w:rsid w:val="00204AD2"/>
    <w:rsid w:val="002276A3"/>
    <w:rsid w:val="00256228"/>
    <w:rsid w:val="00263950"/>
    <w:rsid w:val="002B3647"/>
    <w:rsid w:val="002B4A63"/>
    <w:rsid w:val="002C3093"/>
    <w:rsid w:val="002D6D12"/>
    <w:rsid w:val="00340B69"/>
    <w:rsid w:val="00371952"/>
    <w:rsid w:val="003834F6"/>
    <w:rsid w:val="003F4903"/>
    <w:rsid w:val="004317D1"/>
    <w:rsid w:val="004723F5"/>
    <w:rsid w:val="004B1932"/>
    <w:rsid w:val="004B3381"/>
    <w:rsid w:val="004C0AD7"/>
    <w:rsid w:val="005024B5"/>
    <w:rsid w:val="00646FB1"/>
    <w:rsid w:val="006E2DA6"/>
    <w:rsid w:val="00721098"/>
    <w:rsid w:val="00774E69"/>
    <w:rsid w:val="0080692F"/>
    <w:rsid w:val="00842784"/>
    <w:rsid w:val="008C01E0"/>
    <w:rsid w:val="008D4290"/>
    <w:rsid w:val="009461C3"/>
    <w:rsid w:val="009508B1"/>
    <w:rsid w:val="00990A23"/>
    <w:rsid w:val="009E5456"/>
    <w:rsid w:val="009F7F12"/>
    <w:rsid w:val="00A071C6"/>
    <w:rsid w:val="00A45939"/>
    <w:rsid w:val="00A464B7"/>
    <w:rsid w:val="00AA0D5B"/>
    <w:rsid w:val="00AE7914"/>
    <w:rsid w:val="00B64982"/>
    <w:rsid w:val="00BB3335"/>
    <w:rsid w:val="00BC0463"/>
    <w:rsid w:val="00BE5117"/>
    <w:rsid w:val="00C01467"/>
    <w:rsid w:val="00C06AE2"/>
    <w:rsid w:val="00C24287"/>
    <w:rsid w:val="00C57B14"/>
    <w:rsid w:val="00C86FF6"/>
    <w:rsid w:val="00D418D0"/>
    <w:rsid w:val="00D43F09"/>
    <w:rsid w:val="00D7377C"/>
    <w:rsid w:val="00EB2581"/>
    <w:rsid w:val="00F033DE"/>
    <w:rsid w:val="00F26FC4"/>
    <w:rsid w:val="00F41270"/>
    <w:rsid w:val="00FB3847"/>
    <w:rsid w:val="00FB4539"/>
    <w:rsid w:val="00F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90CA"/>
  <w15:docId w15:val="{3F6870A3-9D4D-4EEF-9AB8-E7ADB379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41">
    <w:name w:val="font141"/>
    <w:basedOn w:val="DefaultParagraphFont"/>
    <w:rsid w:val="00A464B7"/>
    <w:rPr>
      <w:rFonts w:ascii="Trebuchet MS" w:hAnsi="Trebuchet MS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F41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70"/>
  </w:style>
  <w:style w:type="paragraph" w:styleId="Footer">
    <w:name w:val="footer"/>
    <w:basedOn w:val="Normal"/>
    <w:link w:val="FooterChar"/>
    <w:uiPriority w:val="99"/>
    <w:unhideWhenUsed/>
    <w:rsid w:val="00F41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70"/>
  </w:style>
  <w:style w:type="table" w:styleId="TableGrid">
    <w:name w:val="Table Grid"/>
    <w:basedOn w:val="TableNormal"/>
    <w:uiPriority w:val="39"/>
    <w:rsid w:val="00F4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6FF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86F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Hunt</dc:creator>
  <cp:lastModifiedBy>Richard Stables</cp:lastModifiedBy>
  <cp:revision>7</cp:revision>
  <dcterms:created xsi:type="dcterms:W3CDTF">2020-06-20T16:39:00Z</dcterms:created>
  <dcterms:modified xsi:type="dcterms:W3CDTF">2020-09-03T10:48:00Z</dcterms:modified>
</cp:coreProperties>
</file>